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39BD" w14:textId="0F62DAEB" w:rsidR="00076B85" w:rsidRDefault="008F4F8F" w:rsidP="008E2930">
      <w:pPr>
        <w:jc w:val="both"/>
      </w:pPr>
      <w:r>
        <w:t xml:space="preserve">The Vice Chancellor for Diversity, Equity </w:t>
      </w:r>
      <w:r w:rsidR="006301A7">
        <w:t>&amp;</w:t>
      </w:r>
      <w:r>
        <w:t xml:space="preserve"> Inclusion </w:t>
      </w:r>
      <w:r w:rsidR="002C6883">
        <w:t xml:space="preserve">(VCDEI) </w:t>
      </w:r>
      <w:r>
        <w:t>is pleased to offer t</w:t>
      </w:r>
      <w:r w:rsidR="00316B50">
        <w:t>he Illinois Distinguished Postdoctoral Research Associate Program</w:t>
      </w:r>
      <w:r>
        <w:t xml:space="preserve">. </w:t>
      </w:r>
      <w:r w:rsidR="009A1459">
        <w:t xml:space="preserve">The Program provides academic units with funding for postdoctoral research associate (postdoc) positions </w:t>
      </w:r>
      <w:r w:rsidR="007F5D05">
        <w:t>that</w:t>
      </w:r>
      <w:r w:rsidR="00E40E43">
        <w:t xml:space="preserve"> advance the University’s mission</w:t>
      </w:r>
      <w:r w:rsidR="007F5D05">
        <w:t xml:space="preserve">s of </w:t>
      </w:r>
      <w:r w:rsidR="00B630C1">
        <w:t xml:space="preserve">fostering </w:t>
      </w:r>
      <w:r w:rsidR="007F5D05">
        <w:t>research excellence and</w:t>
      </w:r>
      <w:r w:rsidR="00E40E43">
        <w:t xml:space="preserve"> building a diverse and welcoming campus community.</w:t>
      </w:r>
      <w:r w:rsidR="007F5D05">
        <w:t xml:space="preserve"> Its </w:t>
      </w:r>
      <w:proofErr w:type="gramStart"/>
      <w:r w:rsidR="007F5D05">
        <w:t>ultimate goal</w:t>
      </w:r>
      <w:proofErr w:type="gramEnd"/>
      <w:r w:rsidR="007F5D05">
        <w:t xml:space="preserve"> is to identify </w:t>
      </w:r>
      <w:r w:rsidR="00724CA6">
        <w:t>individuals from underrepresented groups and women traditionally underrepresented in STEM fields</w:t>
      </w:r>
      <w:r w:rsidR="007F5D05">
        <w:t xml:space="preserve"> </w:t>
      </w:r>
      <w:r w:rsidR="008E2930">
        <w:t xml:space="preserve">who, </w:t>
      </w:r>
      <w:r w:rsidR="0096303F">
        <w:t>through</w:t>
      </w:r>
      <w:r w:rsidR="008E2930">
        <w:t xml:space="preserve"> </w:t>
      </w:r>
      <w:r w:rsidR="0096303F">
        <w:t xml:space="preserve">participation in </w:t>
      </w:r>
      <w:r w:rsidR="008E2930">
        <w:t>the Program, will be</w:t>
      </w:r>
      <w:r w:rsidR="0096303F">
        <w:t>come</w:t>
      </w:r>
      <w:r w:rsidR="008E2930">
        <w:t xml:space="preserve"> highly competitive </w:t>
      </w:r>
      <w:r w:rsidR="00B630C1">
        <w:t xml:space="preserve">candidates </w:t>
      </w:r>
      <w:r w:rsidR="007F5D05">
        <w:t>for tenure-stream appointments at Illinois.</w:t>
      </w:r>
      <w:r w:rsidR="00B94DB3">
        <w:t xml:space="preserve"> </w:t>
      </w:r>
      <w:r w:rsidR="007F5D05">
        <w:t xml:space="preserve">Accordingly, units </w:t>
      </w:r>
      <w:r w:rsidR="00BD7B3B">
        <w:t>are</w:t>
      </w:r>
      <w:r w:rsidR="00B94DB3">
        <w:t xml:space="preserve"> </w:t>
      </w:r>
      <w:r w:rsidR="00BD7B3B">
        <w:t>encouraged to</w:t>
      </w:r>
      <w:r w:rsidR="007F5D05">
        <w:t xml:space="preserve"> </w:t>
      </w:r>
      <w:r w:rsidR="00E146AA">
        <w:t xml:space="preserve">nominate </w:t>
      </w:r>
      <w:r w:rsidR="00B6658A">
        <w:t>candidates</w:t>
      </w:r>
      <w:r w:rsidR="00E146AA">
        <w:t xml:space="preserve"> </w:t>
      </w:r>
      <w:r w:rsidR="00A526D5">
        <w:t xml:space="preserve">who </w:t>
      </w:r>
      <w:r w:rsidR="000E53F7">
        <w:t>demonstrate</w:t>
      </w:r>
      <w:r w:rsidR="00A526D5">
        <w:t xml:space="preserve"> significant </w:t>
      </w:r>
      <w:r w:rsidR="000E53F7">
        <w:t xml:space="preserve">academic </w:t>
      </w:r>
      <w:r w:rsidR="00F91682">
        <w:t>potential</w:t>
      </w:r>
      <w:r w:rsidR="00A526D5">
        <w:t xml:space="preserve">, who </w:t>
      </w:r>
      <w:r w:rsidR="00F91682">
        <w:t>the units</w:t>
      </w:r>
      <w:r w:rsidR="007F5D05">
        <w:t xml:space="preserve"> </w:t>
      </w:r>
      <w:r w:rsidR="008E2930">
        <w:t xml:space="preserve">plan </w:t>
      </w:r>
      <w:r w:rsidR="007F5D05">
        <w:t xml:space="preserve">seriously </w:t>
      </w:r>
      <w:r w:rsidR="0077776D">
        <w:t xml:space="preserve">to </w:t>
      </w:r>
      <w:r w:rsidR="007F5D05">
        <w:t xml:space="preserve">consider for </w:t>
      </w:r>
      <w:r w:rsidR="00F91682">
        <w:t>tenure-stream</w:t>
      </w:r>
      <w:r w:rsidR="00A526D5">
        <w:t xml:space="preserve"> appointment</w:t>
      </w:r>
      <w:r w:rsidR="00F91682">
        <w:t>s</w:t>
      </w:r>
      <w:r w:rsidR="00A526D5">
        <w:t xml:space="preserve"> before the Program's completion</w:t>
      </w:r>
      <w:r w:rsidR="00047EE1">
        <w:t xml:space="preserve">, </w:t>
      </w:r>
      <w:r w:rsidR="00A526D5">
        <w:t>and</w:t>
      </w:r>
      <w:r w:rsidR="008E2930">
        <w:t xml:space="preserve"> </w:t>
      </w:r>
      <w:r w:rsidR="00A526D5">
        <w:t xml:space="preserve">who </w:t>
      </w:r>
      <w:r w:rsidR="00E146AA">
        <w:t xml:space="preserve">will </w:t>
      </w:r>
      <w:r w:rsidR="007909F4">
        <w:t xml:space="preserve">advance </w:t>
      </w:r>
      <w:r w:rsidR="00E146AA">
        <w:t>the units</w:t>
      </w:r>
      <w:r w:rsidR="00A526D5">
        <w:t>’</w:t>
      </w:r>
      <w:r w:rsidR="007909F4">
        <w:t xml:space="preserve"> diversity goals</w:t>
      </w:r>
      <w:r w:rsidR="00A526D5">
        <w:t xml:space="preserve"> if </w:t>
      </w:r>
      <w:r w:rsidR="00F91682">
        <w:t>ultimately appointed</w:t>
      </w:r>
      <w:r w:rsidR="008E2930">
        <w:t>.</w:t>
      </w:r>
    </w:p>
    <w:p w14:paraId="6B0FE38B" w14:textId="2F77F076" w:rsidR="002156F0" w:rsidRDefault="008F4F8F" w:rsidP="008E2930">
      <w:pPr>
        <w:jc w:val="both"/>
      </w:pPr>
      <w:r>
        <w:t xml:space="preserve">Program </w:t>
      </w:r>
      <w:r w:rsidR="009C2709">
        <w:t xml:space="preserve">applications are reviewed </w:t>
      </w:r>
      <w:r>
        <w:t>by the Diversity Realized at Illinois through Visioning Excellence (DRIVE) Committee</w:t>
      </w:r>
      <w:r w:rsidR="00076B85">
        <w:t xml:space="preserve">.  </w:t>
      </w:r>
      <w:r w:rsidR="00D428A5">
        <w:t>Commissioned by the VCDEI and s</w:t>
      </w:r>
      <w:r w:rsidR="00076B85">
        <w:t xml:space="preserve">taffed by faculty and administrators from </w:t>
      </w:r>
      <w:r w:rsidR="00D428A5">
        <w:t>across campus</w:t>
      </w:r>
      <w:r w:rsidR="00076B85">
        <w:t>,</w:t>
      </w:r>
      <w:r>
        <w:t xml:space="preserve"> </w:t>
      </w:r>
      <w:r w:rsidR="00076B85">
        <w:t xml:space="preserve">DRIVE </w:t>
      </w:r>
      <w:r w:rsidR="00D428A5">
        <w:t>develops</w:t>
      </w:r>
      <w:r w:rsidR="009300B3">
        <w:t xml:space="preserve"> faculty recruitment and retention policies and practices that</w:t>
      </w:r>
      <w:r w:rsidR="00076B85">
        <w:t xml:space="preserve"> </w:t>
      </w:r>
      <w:r w:rsidR="009300B3">
        <w:t>advance the</w:t>
      </w:r>
      <w:r>
        <w:t xml:space="preserve"> University</w:t>
      </w:r>
      <w:r w:rsidR="009300B3">
        <w:t>’s</w:t>
      </w:r>
      <w:r>
        <w:t xml:space="preserve"> DEI goals</w:t>
      </w:r>
      <w:r w:rsidR="00076B85">
        <w:t>.</w:t>
      </w:r>
    </w:p>
    <w:p w14:paraId="042D2305" w14:textId="7D62D391" w:rsidR="00A07218" w:rsidRDefault="008F4F8F" w:rsidP="008E2930">
      <w:pPr>
        <w:jc w:val="both"/>
        <w:rPr>
          <w:b/>
        </w:rPr>
      </w:pPr>
      <w:r>
        <w:rPr>
          <w:b/>
        </w:rPr>
        <w:t>Funding</w:t>
      </w:r>
      <w:r w:rsidR="000E53F7">
        <w:rPr>
          <w:b/>
        </w:rPr>
        <w:t xml:space="preserve"> and Appointments</w:t>
      </w:r>
    </w:p>
    <w:p w14:paraId="67E107A7" w14:textId="05AE4D33" w:rsidR="00A07218" w:rsidRPr="003B535C" w:rsidRDefault="008F4F8F" w:rsidP="008E2930">
      <w:pPr>
        <w:pStyle w:val="ListParagraph"/>
        <w:numPr>
          <w:ilvl w:val="0"/>
          <w:numId w:val="11"/>
        </w:numPr>
        <w:jc w:val="both"/>
      </w:pPr>
      <w:r>
        <w:t xml:space="preserve">The stipend for the </w:t>
      </w:r>
      <w:r w:rsidRPr="00C17409">
        <w:t>202</w:t>
      </w:r>
      <w:r w:rsidR="006947AE">
        <w:t>4</w:t>
      </w:r>
      <w:r w:rsidRPr="00C17409">
        <w:t>-202</w:t>
      </w:r>
      <w:r w:rsidR="006947AE">
        <w:t>5</w:t>
      </w:r>
      <w:r w:rsidRPr="003B535C">
        <w:t xml:space="preserve"> year is $</w:t>
      </w:r>
      <w:r w:rsidR="00B94DB3">
        <w:t>56,000</w:t>
      </w:r>
      <w:r w:rsidRPr="003B535C">
        <w:t xml:space="preserve"> </w:t>
      </w:r>
      <w:r>
        <w:t xml:space="preserve">(for a 12-month appointment) </w:t>
      </w:r>
      <w:r w:rsidRPr="003B535C">
        <w:t>and includes health benefits.</w:t>
      </w:r>
    </w:p>
    <w:p w14:paraId="0564FD84" w14:textId="27E099D3" w:rsidR="00A07218" w:rsidRDefault="008F4F8F" w:rsidP="008E2930">
      <w:pPr>
        <w:pStyle w:val="ListParagraph"/>
        <w:numPr>
          <w:ilvl w:val="0"/>
          <w:numId w:val="11"/>
        </w:numPr>
        <w:jc w:val="both"/>
      </w:pPr>
      <w:r w:rsidRPr="003B535C">
        <w:t>An additional $5,000 is provided for research, travel, and related expenses</w:t>
      </w:r>
      <w:r w:rsidR="002C6883">
        <w:t>.</w:t>
      </w:r>
    </w:p>
    <w:p w14:paraId="74C0F81B" w14:textId="72CD2624" w:rsidR="002C6883" w:rsidRDefault="008F4F8F" w:rsidP="008E2930">
      <w:pPr>
        <w:pStyle w:val="ListParagraph"/>
        <w:numPr>
          <w:ilvl w:val="0"/>
          <w:numId w:val="11"/>
        </w:numPr>
        <w:jc w:val="both"/>
      </w:pPr>
      <w:r>
        <w:t xml:space="preserve">Academic units </w:t>
      </w:r>
      <w:r w:rsidR="009300B3">
        <w:t>may</w:t>
      </w:r>
      <w:r>
        <w:t xml:space="preserve"> supplement the stipend and/or expense allowance.</w:t>
      </w:r>
    </w:p>
    <w:p w14:paraId="407B2D52" w14:textId="56F37686" w:rsidR="009C2709" w:rsidRPr="00A07218" w:rsidRDefault="008F4F8F" w:rsidP="00AC7DB9">
      <w:pPr>
        <w:pStyle w:val="ListParagraph"/>
        <w:numPr>
          <w:ilvl w:val="0"/>
          <w:numId w:val="11"/>
        </w:numPr>
        <w:jc w:val="both"/>
      </w:pPr>
      <w:r>
        <w:t xml:space="preserve">Initial </w:t>
      </w:r>
      <w:r w:rsidR="002C6883">
        <w:t xml:space="preserve">Program </w:t>
      </w:r>
      <w:r>
        <w:t>appointments are for up to one year (12 months)</w:t>
      </w:r>
      <w:r w:rsidR="002C6883">
        <w:t xml:space="preserve">. </w:t>
      </w:r>
      <w:r>
        <w:t xml:space="preserve"> </w:t>
      </w:r>
      <w:r w:rsidR="002C6883">
        <w:t>R</w:t>
      </w:r>
      <w:r>
        <w:t xml:space="preserve">eappointments for up to </w:t>
      </w:r>
      <w:r w:rsidR="002C6883">
        <w:t>an additional year</w:t>
      </w:r>
      <w:r>
        <w:t xml:space="preserve"> </w:t>
      </w:r>
      <w:r w:rsidR="002C6883">
        <w:t xml:space="preserve">are generally </w:t>
      </w:r>
      <w:r>
        <w:t>available</w:t>
      </w:r>
      <w:r w:rsidR="002C6883">
        <w:t>, subject to</w:t>
      </w:r>
      <w:r>
        <w:t xml:space="preserve"> the </w:t>
      </w:r>
      <w:r w:rsidR="002C6883">
        <w:t>VCDEI’s approval.</w:t>
      </w:r>
      <w:r>
        <w:t xml:space="preserve"> </w:t>
      </w:r>
      <w:r w:rsidR="002C6883">
        <w:t xml:space="preserve"> The VCDEI may extend Program appointments</w:t>
      </w:r>
      <w:r>
        <w:t xml:space="preserve"> beyond </w:t>
      </w:r>
      <w:r w:rsidR="002C6883">
        <w:t xml:space="preserve">two </w:t>
      </w:r>
      <w:r w:rsidR="00333E53">
        <w:t>years but</w:t>
      </w:r>
      <w:r w:rsidR="002C6883">
        <w:t xml:space="preserve"> will do so only in extraordinary circumstances.</w:t>
      </w:r>
    </w:p>
    <w:p w14:paraId="0872DC92" w14:textId="3F736A7C" w:rsidR="00A526D5" w:rsidRPr="00A526D5" w:rsidRDefault="008F4F8F" w:rsidP="00A526D5">
      <w:pPr>
        <w:jc w:val="both"/>
        <w:rPr>
          <w:b/>
        </w:rPr>
      </w:pPr>
      <w:r>
        <w:rPr>
          <w:b/>
        </w:rPr>
        <w:t>Program Parameters</w:t>
      </w:r>
    </w:p>
    <w:p w14:paraId="02B1678C" w14:textId="0EC7E6CF" w:rsidR="00FF0610" w:rsidRPr="00FF0610" w:rsidRDefault="008F4F8F" w:rsidP="006E1BA4">
      <w:pPr>
        <w:pStyle w:val="ListParagraph"/>
        <w:numPr>
          <w:ilvl w:val="0"/>
          <w:numId w:val="11"/>
        </w:numPr>
        <w:jc w:val="both"/>
        <w:rPr>
          <w:b/>
        </w:rPr>
      </w:pPr>
      <w:r>
        <w:t xml:space="preserve">Funding priority will be given to external candidates identified through national </w:t>
      </w:r>
      <w:r w:rsidR="007B0A22">
        <w:t xml:space="preserve">searches for </w:t>
      </w:r>
      <w:r>
        <w:t xml:space="preserve">faculty or </w:t>
      </w:r>
      <w:r w:rsidR="00A570E2">
        <w:t xml:space="preserve">national searches </w:t>
      </w:r>
      <w:r w:rsidR="007B0A22">
        <w:t xml:space="preserve">for </w:t>
      </w:r>
      <w:r>
        <w:t>postdoc</w:t>
      </w:r>
      <w:r w:rsidR="007B0A22">
        <w:t>s</w:t>
      </w:r>
      <w:r>
        <w:t>.</w:t>
      </w:r>
    </w:p>
    <w:p w14:paraId="28858015" w14:textId="3F5388BC" w:rsidR="006E1BA4" w:rsidRPr="00F06C3E" w:rsidRDefault="008F4F8F" w:rsidP="006E1BA4">
      <w:pPr>
        <w:pStyle w:val="ListParagraph"/>
        <w:numPr>
          <w:ilvl w:val="0"/>
          <w:numId w:val="11"/>
        </w:numPr>
        <w:jc w:val="both"/>
        <w:rPr>
          <w:b/>
        </w:rPr>
      </w:pPr>
      <w:r>
        <w:rPr>
          <w:bCs/>
        </w:rPr>
        <w:t>Academic units:</w:t>
      </w:r>
    </w:p>
    <w:p w14:paraId="248F5CEE" w14:textId="08FC7187" w:rsidR="006E1BA4" w:rsidRPr="00F06C3E" w:rsidRDefault="008F4F8F" w:rsidP="006E1BA4">
      <w:pPr>
        <w:pStyle w:val="ListParagraph"/>
        <w:numPr>
          <w:ilvl w:val="1"/>
          <w:numId w:val="11"/>
        </w:numPr>
        <w:jc w:val="both"/>
        <w:rPr>
          <w:b/>
        </w:rPr>
      </w:pPr>
      <w:r>
        <w:rPr>
          <w:bCs/>
        </w:rPr>
        <w:t xml:space="preserve">Must be part of the University of Illinois at Urbana-Champaign to </w:t>
      </w:r>
      <w:r w:rsidR="003B3836">
        <w:rPr>
          <w:bCs/>
        </w:rPr>
        <w:t>receiv</w:t>
      </w:r>
      <w:r w:rsidR="007B0A22">
        <w:rPr>
          <w:bCs/>
        </w:rPr>
        <w:t>e</w:t>
      </w:r>
      <w:r w:rsidR="003B3836">
        <w:rPr>
          <w:bCs/>
        </w:rPr>
        <w:t xml:space="preserve"> </w:t>
      </w:r>
      <w:r w:rsidR="009C2D9D">
        <w:rPr>
          <w:bCs/>
        </w:rPr>
        <w:t xml:space="preserve">Program </w:t>
      </w:r>
      <w:r w:rsidR="003B3836">
        <w:rPr>
          <w:bCs/>
        </w:rPr>
        <w:t>funding</w:t>
      </w:r>
      <w:r>
        <w:rPr>
          <w:bCs/>
        </w:rPr>
        <w:t>.</w:t>
      </w:r>
    </w:p>
    <w:p w14:paraId="2AECCBE3" w14:textId="595508C4" w:rsidR="006E1BA4" w:rsidRPr="00F06C3E" w:rsidRDefault="008F4F8F" w:rsidP="006E1BA4">
      <w:pPr>
        <w:pStyle w:val="ListParagraph"/>
        <w:numPr>
          <w:ilvl w:val="1"/>
          <w:numId w:val="11"/>
        </w:numPr>
        <w:jc w:val="both"/>
        <w:rPr>
          <w:b/>
        </w:rPr>
      </w:pPr>
      <w:r>
        <w:t>Are responsible for submitting Program applications and all supporting materials via their unit executive officer.  Candidates may not submit application materials directly to DRIVE.</w:t>
      </w:r>
    </w:p>
    <w:p w14:paraId="3120D290" w14:textId="21065E29" w:rsidR="006E1BA4" w:rsidRPr="00A70EA9" w:rsidRDefault="008F4F8F" w:rsidP="00A70EA9">
      <w:pPr>
        <w:pStyle w:val="ListParagraph"/>
        <w:numPr>
          <w:ilvl w:val="1"/>
          <w:numId w:val="11"/>
        </w:numPr>
        <w:jc w:val="both"/>
      </w:pPr>
      <w:r>
        <w:rPr>
          <w:bCs/>
        </w:rPr>
        <w:t>Must submit Program applications through</w:t>
      </w:r>
      <w:r w:rsidR="007B0A22">
        <w:rPr>
          <w:bCs/>
        </w:rPr>
        <w:t xml:space="preserve"> the</w:t>
      </w:r>
      <w:r>
        <w:rPr>
          <w:bCs/>
        </w:rPr>
        <w:t xml:space="preserve"> </w:t>
      </w:r>
      <w:hyperlink r:id="rId7" w:history="1">
        <w:r w:rsidRPr="00C17409">
          <w:rPr>
            <w:rStyle w:val="Hyperlink"/>
          </w:rPr>
          <w:t>Illinois Distinguished Postdoctoral Research Associate Program Request</w:t>
        </w:r>
      </w:hyperlink>
      <w:r>
        <w:rPr>
          <w:bCs/>
        </w:rPr>
        <w:t xml:space="preserve"> portal.</w:t>
      </w:r>
    </w:p>
    <w:p w14:paraId="3B7A3BC9" w14:textId="69FFAECD" w:rsidR="00A70EA9" w:rsidRDefault="008F4F8F" w:rsidP="00A70EA9">
      <w:pPr>
        <w:pStyle w:val="ListParagraph"/>
        <w:numPr>
          <w:ilvl w:val="1"/>
          <w:numId w:val="11"/>
        </w:numPr>
        <w:jc w:val="both"/>
      </w:pPr>
      <w:r>
        <w:t xml:space="preserve">Must </w:t>
      </w:r>
      <w:r w:rsidR="007C53BB">
        <w:t>identify</w:t>
      </w:r>
      <w:r>
        <w:t xml:space="preserve"> faculty mentors who will develop and supervise </w:t>
      </w:r>
      <w:r w:rsidR="007B0A22">
        <w:t>the implementation of</w:t>
      </w:r>
      <w:r>
        <w:t xml:space="preserve"> candidates’ mentoring plans</w:t>
      </w:r>
      <w:r w:rsidR="006301A7">
        <w:t xml:space="preserve"> (see Application Materials below)</w:t>
      </w:r>
      <w:r>
        <w:t>.</w:t>
      </w:r>
    </w:p>
    <w:p w14:paraId="1F37D1D9" w14:textId="6E2E262D" w:rsidR="00A70EA9" w:rsidRDefault="008F4F8F" w:rsidP="00A70EA9">
      <w:pPr>
        <w:pStyle w:val="ListParagraph"/>
        <w:numPr>
          <w:ilvl w:val="1"/>
          <w:numId w:val="11"/>
        </w:numPr>
        <w:jc w:val="both"/>
      </w:pPr>
      <w:r>
        <w:t xml:space="preserve">Must agree seriously </w:t>
      </w:r>
      <w:r w:rsidR="003754CE">
        <w:t xml:space="preserve">to </w:t>
      </w:r>
      <w:r>
        <w:t xml:space="preserve">consider their postdocs for </w:t>
      </w:r>
      <w:r w:rsidRPr="009C2709">
        <w:rPr>
          <w:b/>
          <w:bCs/>
        </w:rPr>
        <w:t>tenure-</w:t>
      </w:r>
      <w:r>
        <w:rPr>
          <w:b/>
          <w:bCs/>
        </w:rPr>
        <w:t>stream</w:t>
      </w:r>
      <w:r w:rsidRPr="009C2709">
        <w:rPr>
          <w:b/>
          <w:bCs/>
        </w:rPr>
        <w:t xml:space="preserve"> position</w:t>
      </w:r>
      <w:r>
        <w:rPr>
          <w:b/>
          <w:bCs/>
        </w:rPr>
        <w:t>s</w:t>
      </w:r>
      <w:r>
        <w:t xml:space="preserve"> </w:t>
      </w:r>
      <w:r w:rsidR="00F7465C">
        <w:t xml:space="preserve">before </w:t>
      </w:r>
      <w:r>
        <w:t>the Program’s completion.</w:t>
      </w:r>
    </w:p>
    <w:p w14:paraId="5E30A339" w14:textId="04887C1B" w:rsidR="00A70EA9" w:rsidRPr="006E1BA4" w:rsidRDefault="008F4F8F" w:rsidP="00A70EA9">
      <w:pPr>
        <w:pStyle w:val="ListParagraph"/>
        <w:numPr>
          <w:ilvl w:val="1"/>
          <w:numId w:val="11"/>
        </w:numPr>
        <w:jc w:val="both"/>
      </w:pPr>
      <w:r>
        <w:t>Are eligible to receive recurring salary support from the Provost’s Office under the Targets of Opportunity Program (TOP)</w:t>
      </w:r>
      <w:r w:rsidR="00D7671B">
        <w:t xml:space="preserve"> if they hire their Program postdocs to tenure-stream positions</w:t>
      </w:r>
      <w:r>
        <w:t>.  TOP funding</w:t>
      </w:r>
      <w:r w:rsidR="006301A7">
        <w:t xml:space="preserve"> </w:t>
      </w:r>
      <w:r>
        <w:t xml:space="preserve">is available if </w:t>
      </w:r>
      <w:r w:rsidR="00F21C06">
        <w:t>an</w:t>
      </w:r>
      <w:r>
        <w:t xml:space="preserve"> academic unit (1) initially identified its Program postdoc through a national faculty or national postdoc search and (2) rigorously considered the tenure-stream candidacy of its Program postdoc before the Program’s completion.  I</w:t>
      </w:r>
      <w:r w:rsidR="00E33FDF">
        <w:t>n rare circumstances</w:t>
      </w:r>
      <w:r>
        <w:t xml:space="preserve">, the Provost’s Office </w:t>
      </w:r>
      <w:r w:rsidR="00E33FDF">
        <w:t xml:space="preserve">may </w:t>
      </w:r>
      <w:r>
        <w:t xml:space="preserve">make TOP funding available </w:t>
      </w:r>
      <w:r>
        <w:lastRenderedPageBreak/>
        <w:t>for Program postdocs</w:t>
      </w:r>
      <w:r w:rsidR="00D93280">
        <w:t xml:space="preserve"> </w:t>
      </w:r>
      <w:r>
        <w:t>not initially identified through national faculty or national postdoc searches.</w:t>
      </w:r>
    </w:p>
    <w:p w14:paraId="7302093E" w14:textId="6C86C790" w:rsidR="00A70EA9" w:rsidRPr="00C62E84" w:rsidRDefault="008F4F8F" w:rsidP="00FF0610">
      <w:pPr>
        <w:pStyle w:val="ListParagraph"/>
        <w:numPr>
          <w:ilvl w:val="0"/>
          <w:numId w:val="11"/>
        </w:numPr>
        <w:jc w:val="both"/>
      </w:pPr>
      <w:r>
        <w:t xml:space="preserve">If </w:t>
      </w:r>
      <w:r w:rsidR="00754530">
        <w:t xml:space="preserve">an academic unit recommends a Program postdoc </w:t>
      </w:r>
      <w:r w:rsidR="00394652">
        <w:t>for</w:t>
      </w:r>
      <w:r w:rsidR="00754530">
        <w:t xml:space="preserve"> a tenure-stream </w:t>
      </w:r>
      <w:r w:rsidR="00A570E2">
        <w:t>appointment</w:t>
      </w:r>
      <w:r w:rsidR="00754530">
        <w:t xml:space="preserve"> after rigorously evaluating their candidacy, and if the unit would receive TOP funding in connection with that appointment, the </w:t>
      </w:r>
      <w:r w:rsidR="00754530" w:rsidRPr="00C62E84">
        <w:t xml:space="preserve">Dean </w:t>
      </w:r>
      <w:r w:rsidR="00E52EDD" w:rsidRPr="00C62E84">
        <w:t xml:space="preserve">and </w:t>
      </w:r>
      <w:r w:rsidR="00754530">
        <w:t xml:space="preserve">the </w:t>
      </w:r>
      <w:r w:rsidR="002B5055" w:rsidRPr="00C62E84">
        <w:t>unit’</w:t>
      </w:r>
      <w:r w:rsidR="00754530">
        <w:t>s</w:t>
      </w:r>
      <w:r w:rsidR="002B5055" w:rsidRPr="00C62E84">
        <w:t xml:space="preserve"> administrative leadership (</w:t>
      </w:r>
      <w:r w:rsidRPr="004676EB">
        <w:rPr>
          <w:rStyle w:val="CommentReference"/>
          <w:sz w:val="22"/>
          <w:szCs w:val="22"/>
        </w:rPr>
        <w:t>e</w:t>
      </w:r>
      <w:r w:rsidRPr="00C62E84">
        <w:t xml:space="preserve">.g., </w:t>
      </w:r>
      <w:r w:rsidR="00E52EDD" w:rsidRPr="00C62E84">
        <w:t>head</w:t>
      </w:r>
      <w:r>
        <w:t xml:space="preserve"> or </w:t>
      </w:r>
      <w:r w:rsidR="00E52EDD" w:rsidRPr="00C62E84">
        <w:t>cha</w:t>
      </w:r>
      <w:r w:rsidR="000F38D3">
        <w:t>ir</w:t>
      </w:r>
      <w:r w:rsidR="002B5055" w:rsidRPr="00C62E84">
        <w:t>)</w:t>
      </w:r>
      <w:r w:rsidR="00E52EDD" w:rsidRPr="00C62E84">
        <w:t xml:space="preserve"> </w:t>
      </w:r>
      <w:r w:rsidR="00644074" w:rsidRPr="00C62E84">
        <w:t xml:space="preserve">must agree to support </w:t>
      </w:r>
      <w:r w:rsidR="00754530">
        <w:t xml:space="preserve">the </w:t>
      </w:r>
      <w:r w:rsidR="00E52EDD" w:rsidRPr="00C62E84">
        <w:t>appointment</w:t>
      </w:r>
      <w:r w:rsidR="00644074" w:rsidRPr="00C62E84">
        <w:t>.</w:t>
      </w:r>
      <w:r w:rsidR="00A570E2">
        <w:t xml:space="preserve">  (See Application Materials below)</w:t>
      </w:r>
      <w:r w:rsidR="00290B01">
        <w:t>.</w:t>
      </w:r>
    </w:p>
    <w:p w14:paraId="3CF944CE" w14:textId="3E429620" w:rsidR="00316B50" w:rsidRPr="00316B50" w:rsidRDefault="008F4F8F" w:rsidP="008E2930">
      <w:pPr>
        <w:jc w:val="both"/>
        <w:rPr>
          <w:b/>
          <w:bCs/>
        </w:rPr>
      </w:pPr>
      <w:r>
        <w:rPr>
          <w:b/>
          <w:bCs/>
        </w:rPr>
        <w:t xml:space="preserve">Program Candidate </w:t>
      </w:r>
      <w:r w:rsidR="00A526D5">
        <w:rPr>
          <w:b/>
          <w:bCs/>
        </w:rPr>
        <w:t>Eligibility</w:t>
      </w:r>
    </w:p>
    <w:p w14:paraId="4AA684E5" w14:textId="6F0A0036" w:rsidR="00FA3B9A" w:rsidRDefault="008F4F8F" w:rsidP="008E2930">
      <w:pPr>
        <w:pStyle w:val="ListParagraph"/>
        <w:numPr>
          <w:ilvl w:val="0"/>
          <w:numId w:val="10"/>
        </w:numPr>
        <w:jc w:val="both"/>
      </w:pPr>
      <w:r>
        <w:t xml:space="preserve">Program </w:t>
      </w:r>
      <w:r w:rsidR="009E4406">
        <w:t>candidates</w:t>
      </w:r>
      <w:r w:rsidR="00A526D5">
        <w:t xml:space="preserve"> must</w:t>
      </w:r>
      <w:r>
        <w:t>:</w:t>
      </w:r>
    </w:p>
    <w:p w14:paraId="05B6B259" w14:textId="386F799F" w:rsidR="00E52EDD" w:rsidRDefault="008F4F8F" w:rsidP="00FA3B9A">
      <w:pPr>
        <w:pStyle w:val="ListParagraph"/>
        <w:numPr>
          <w:ilvl w:val="1"/>
          <w:numId w:val="10"/>
        </w:numPr>
        <w:jc w:val="both"/>
      </w:pPr>
      <w:r>
        <w:t xml:space="preserve">Satisfy the </w:t>
      </w:r>
      <w:r w:rsidR="00D538D8">
        <w:t xml:space="preserve">TOP faculty </w:t>
      </w:r>
      <w:r>
        <w:t>eligibility criteria</w:t>
      </w:r>
      <w:r w:rsidR="00D538D8">
        <w:t xml:space="preserve"> established by</w:t>
      </w:r>
      <w:r>
        <w:t xml:space="preserve"> Provost’s Communication No. 7.</w:t>
      </w:r>
    </w:p>
    <w:p w14:paraId="39FCA7FE" w14:textId="2846649D" w:rsidR="00E52EDD" w:rsidRDefault="008F4F8F" w:rsidP="00B60D19">
      <w:pPr>
        <w:pStyle w:val="ListParagraph"/>
        <w:numPr>
          <w:ilvl w:val="1"/>
          <w:numId w:val="10"/>
        </w:numPr>
        <w:jc w:val="both"/>
      </w:pPr>
      <w:r>
        <w:t>O</w:t>
      </w:r>
      <w:r w:rsidR="009C2C0C">
        <w:t xml:space="preserve">btain their </w:t>
      </w:r>
      <w:r w:rsidR="00FA3B9A">
        <w:t>Ph</w:t>
      </w:r>
      <w:r>
        <w:t>Ds</w:t>
      </w:r>
      <w:r w:rsidR="009C2C0C">
        <w:t xml:space="preserve"> or </w:t>
      </w:r>
      <w:r w:rsidR="00FA3B9A">
        <w:t xml:space="preserve">other </w:t>
      </w:r>
      <w:r w:rsidR="009C2C0C">
        <w:t>terminal degree</w:t>
      </w:r>
      <w:r w:rsidR="002D520D">
        <w:t>s</w:t>
      </w:r>
      <w:r w:rsidR="00FA3B9A">
        <w:t xml:space="preserve"> (e.g., MFA</w:t>
      </w:r>
      <w:r>
        <w:t>s</w:t>
      </w:r>
      <w:r w:rsidR="00FA3B9A">
        <w:t>, JD</w:t>
      </w:r>
      <w:r>
        <w:t>s</w:t>
      </w:r>
      <w:r w:rsidR="00FA3B9A">
        <w:t>)</w:t>
      </w:r>
      <w:r w:rsidR="009C2C0C">
        <w:t xml:space="preserve"> required </w:t>
      </w:r>
      <w:r w:rsidR="00FA3B9A">
        <w:t>for faculty position</w:t>
      </w:r>
      <w:r>
        <w:t>s</w:t>
      </w:r>
      <w:r w:rsidR="00FA3B9A">
        <w:t xml:space="preserve"> in their </w:t>
      </w:r>
      <w:r w:rsidR="009C2C0C">
        <w:t>field</w:t>
      </w:r>
      <w:r>
        <w:t>s</w:t>
      </w:r>
      <w:r w:rsidR="009C2C0C">
        <w:t xml:space="preserve"> before </w:t>
      </w:r>
      <w:r w:rsidR="009C2C0C" w:rsidRPr="00C17409">
        <w:t>July 1, 202</w:t>
      </w:r>
      <w:r w:rsidR="003A56E3">
        <w:t>4</w:t>
      </w:r>
      <w:r w:rsidR="009C2C0C" w:rsidRPr="00C17409">
        <w:t>.</w:t>
      </w:r>
    </w:p>
    <w:p w14:paraId="12E25C5E" w14:textId="1C54E148" w:rsidR="009C2C0C" w:rsidRDefault="008F4F8F" w:rsidP="00FA3B9A">
      <w:pPr>
        <w:pStyle w:val="ListParagraph"/>
        <w:numPr>
          <w:ilvl w:val="1"/>
          <w:numId w:val="10"/>
        </w:numPr>
        <w:jc w:val="both"/>
      </w:pPr>
      <w:r>
        <w:t>C</w:t>
      </w:r>
      <w:r w:rsidR="00C17BB4">
        <w:t>ommit to full-time residence at the Urbana-Champaign campus during the academic year(s) covered by the Program award.</w:t>
      </w:r>
    </w:p>
    <w:p w14:paraId="37FCF5A6" w14:textId="61B25863" w:rsidR="00F06C3E" w:rsidRPr="00F06C3E" w:rsidRDefault="008F4F8F" w:rsidP="00F06C3E">
      <w:pPr>
        <w:jc w:val="both"/>
        <w:rPr>
          <w:b/>
        </w:rPr>
      </w:pPr>
      <w:r>
        <w:rPr>
          <w:b/>
        </w:rPr>
        <w:t>Application Materials</w:t>
      </w:r>
    </w:p>
    <w:p w14:paraId="175C89E0" w14:textId="7D766E25" w:rsidR="002156F0" w:rsidRPr="002156F0" w:rsidRDefault="008F4F8F" w:rsidP="008E2930">
      <w:pPr>
        <w:pStyle w:val="ListParagraph"/>
        <w:numPr>
          <w:ilvl w:val="0"/>
          <w:numId w:val="13"/>
        </w:numPr>
        <w:jc w:val="both"/>
        <w:rPr>
          <w:b/>
        </w:rPr>
      </w:pPr>
      <w:r>
        <w:rPr>
          <w:bCs/>
        </w:rPr>
        <w:t>Academic units must submit:</w:t>
      </w:r>
    </w:p>
    <w:p w14:paraId="59B03D5D" w14:textId="22FFE402" w:rsidR="009C2C0C" w:rsidRDefault="008F4F8F" w:rsidP="008E2930">
      <w:pPr>
        <w:pStyle w:val="ListParagraph"/>
        <w:numPr>
          <w:ilvl w:val="1"/>
          <w:numId w:val="13"/>
        </w:numPr>
        <w:jc w:val="both"/>
      </w:pPr>
      <w:r>
        <w:t>A</w:t>
      </w:r>
      <w:r w:rsidR="002156F0">
        <w:t xml:space="preserve"> </w:t>
      </w:r>
      <w:r w:rsidR="00232128">
        <w:t>m</w:t>
      </w:r>
      <w:r w:rsidR="002156F0">
        <w:t xml:space="preserve">entoring </w:t>
      </w:r>
      <w:r w:rsidR="00232128">
        <w:t>p</w:t>
      </w:r>
      <w:r w:rsidR="002156F0">
        <w:t xml:space="preserve">lan </w:t>
      </w:r>
      <w:r w:rsidR="001C2148">
        <w:t>designating</w:t>
      </w:r>
      <w:r w:rsidR="00905D5B">
        <w:t xml:space="preserve"> </w:t>
      </w:r>
      <w:r w:rsidR="00B5202B">
        <w:t xml:space="preserve">a </w:t>
      </w:r>
      <w:r w:rsidR="00905D5B">
        <w:t>faculty mentor</w:t>
      </w:r>
      <w:r w:rsidR="00B5202B">
        <w:t xml:space="preserve"> (or mentors)</w:t>
      </w:r>
      <w:r w:rsidR="00905D5B">
        <w:t xml:space="preserve"> and detai</w:t>
      </w:r>
      <w:r w:rsidR="00E33FDF">
        <w:t>l</w:t>
      </w:r>
      <w:r w:rsidR="001C2148">
        <w:t>ing</w:t>
      </w:r>
      <w:r w:rsidR="00905D5B">
        <w:t xml:space="preserve"> </w:t>
      </w:r>
      <w:r w:rsidR="002156F0">
        <w:t xml:space="preserve">how </w:t>
      </w:r>
      <w:r w:rsidR="00905D5B">
        <w:t xml:space="preserve">they </w:t>
      </w:r>
      <w:r w:rsidR="002156F0">
        <w:t xml:space="preserve">will actively support the </w:t>
      </w:r>
      <w:r w:rsidR="00931F7D">
        <w:t xml:space="preserve">Program </w:t>
      </w:r>
      <w:r w:rsidR="002156F0">
        <w:t>candidate’s research and teaching</w:t>
      </w:r>
      <w:r>
        <w:t xml:space="preserve"> development</w:t>
      </w:r>
      <w:r w:rsidR="002156F0">
        <w:t>.</w:t>
      </w:r>
    </w:p>
    <w:p w14:paraId="78F397BC" w14:textId="51E3EC1E" w:rsidR="009C2C0C" w:rsidRDefault="008F4F8F" w:rsidP="008E2930">
      <w:pPr>
        <w:pStyle w:val="ListParagraph"/>
        <w:numPr>
          <w:ilvl w:val="1"/>
          <w:numId w:val="13"/>
        </w:numPr>
        <w:jc w:val="both"/>
      </w:pPr>
      <w:r>
        <w:t xml:space="preserve">A description of </w:t>
      </w:r>
      <w:r w:rsidR="006301A7">
        <w:t xml:space="preserve">the </w:t>
      </w:r>
      <w:r w:rsidR="00130CB8">
        <w:t xml:space="preserve">Program </w:t>
      </w:r>
      <w:r w:rsidR="006301A7">
        <w:t xml:space="preserve">candidate’s </w:t>
      </w:r>
      <w:r>
        <w:t xml:space="preserve">planned professional activities if </w:t>
      </w:r>
      <w:r w:rsidR="00905D5B">
        <w:t>funding is approved</w:t>
      </w:r>
      <w:r>
        <w:t xml:space="preserve">.  </w:t>
      </w:r>
      <w:r w:rsidR="00905D5B">
        <w:t xml:space="preserve">This plan should explain how its successful completion </w:t>
      </w:r>
      <w:r w:rsidR="00E33FDF">
        <w:t xml:space="preserve">will </w:t>
      </w:r>
      <w:r w:rsidR="00905D5B">
        <w:t xml:space="preserve">improve the candidate’s competitiveness for a tenure-stream appointment in the academic unit.  Note that </w:t>
      </w:r>
      <w:r w:rsidR="00E33FDF">
        <w:t xml:space="preserve">Program postdocs </w:t>
      </w:r>
      <w:r w:rsidR="00905D5B">
        <w:t xml:space="preserve">are expected to teach no more than one course per academic year.  </w:t>
      </w:r>
      <w:r w:rsidR="00DA6285">
        <w:t xml:space="preserve">Units </w:t>
      </w:r>
      <w:r>
        <w:t xml:space="preserve">may </w:t>
      </w:r>
      <w:r w:rsidR="00905D5B">
        <w:t>argue for</w:t>
      </w:r>
      <w:r>
        <w:t xml:space="preserve"> a two-course teaching load by </w:t>
      </w:r>
      <w:r w:rsidR="00E33FDF">
        <w:t xml:space="preserve">explaining why it is consistent with </w:t>
      </w:r>
      <w:r w:rsidR="00905D5B">
        <w:t xml:space="preserve">instructional norms </w:t>
      </w:r>
      <w:r>
        <w:t>in the applicable profession or discipline</w:t>
      </w:r>
      <w:r w:rsidR="00E33FDF">
        <w:t xml:space="preserve"> and is </w:t>
      </w:r>
      <w:r w:rsidR="006301A7">
        <w:t>needed for</w:t>
      </w:r>
      <w:r w:rsidR="00E33FDF">
        <w:t xml:space="preserve"> the postdoc’s professional development</w:t>
      </w:r>
      <w:r>
        <w:t>.</w:t>
      </w:r>
    </w:p>
    <w:p w14:paraId="75D1029F" w14:textId="20ED383A" w:rsidR="004D3E1E" w:rsidRDefault="008F4F8F" w:rsidP="004D3E1E">
      <w:pPr>
        <w:pStyle w:val="ListParagraph"/>
        <w:numPr>
          <w:ilvl w:val="1"/>
          <w:numId w:val="13"/>
        </w:numPr>
        <w:jc w:val="both"/>
      </w:pPr>
      <w:r>
        <w:t>Separate letters from the Dean and the academic unit’s</w:t>
      </w:r>
      <w:r w:rsidR="00B407F2">
        <w:t xml:space="preserve"> </w:t>
      </w:r>
      <w:r w:rsidR="008608D2">
        <w:t>ex</w:t>
      </w:r>
      <w:r w:rsidR="00D815B1">
        <w:t>ecutive officer</w:t>
      </w:r>
      <w:r w:rsidR="002B5055">
        <w:t xml:space="preserve"> (</w:t>
      </w:r>
      <w:r w:rsidR="00C62E84">
        <w:t xml:space="preserve">e.g., </w:t>
      </w:r>
      <w:r w:rsidR="002B5055">
        <w:t>head</w:t>
      </w:r>
      <w:r w:rsidR="005A5E12">
        <w:t xml:space="preserve">, </w:t>
      </w:r>
      <w:r w:rsidR="002B5055">
        <w:t>chair)</w:t>
      </w:r>
      <w:r>
        <w:t xml:space="preserve"> </w:t>
      </w:r>
      <w:r w:rsidR="00206391">
        <w:t xml:space="preserve">expressing support for </w:t>
      </w:r>
      <w:r>
        <w:t>the Program application</w:t>
      </w:r>
      <w:r w:rsidR="00845395">
        <w:t xml:space="preserve">. The letters must also </w:t>
      </w:r>
      <w:r w:rsidR="00FB67E6">
        <w:t xml:space="preserve">express </w:t>
      </w:r>
      <w:r>
        <w:t xml:space="preserve">support </w:t>
      </w:r>
      <w:r w:rsidR="00FB67E6">
        <w:t xml:space="preserve">for </w:t>
      </w:r>
      <w:r>
        <w:t xml:space="preserve">the </w:t>
      </w:r>
      <w:r w:rsidR="000F38D3">
        <w:t xml:space="preserve">candidate’s tenure-stream appointment if the unit so recommends after rigorously evaluating their candidacy, and if the unit would receive TOP funding in connection with that tenure-stream appointment. </w:t>
      </w:r>
      <w:r w:rsidR="007B6606">
        <w:t>The Dean alone may submit this support letter in undivided colleges and schools.</w:t>
      </w:r>
    </w:p>
    <w:p w14:paraId="4C6DA092" w14:textId="7E2CD3DD" w:rsidR="00F06C3E" w:rsidRDefault="008F4F8F" w:rsidP="004D3E1E">
      <w:pPr>
        <w:pStyle w:val="ListParagraph"/>
        <w:numPr>
          <w:ilvl w:val="1"/>
          <w:numId w:val="13"/>
        </w:numPr>
        <w:jc w:val="both"/>
      </w:pPr>
      <w:r>
        <w:t xml:space="preserve">A letter of interest from the </w:t>
      </w:r>
      <w:r w:rsidR="00B11067">
        <w:t xml:space="preserve">Program </w:t>
      </w:r>
      <w:r>
        <w:t xml:space="preserve">candidate addressed to the </w:t>
      </w:r>
      <w:r w:rsidR="00E22DA8">
        <w:t xml:space="preserve">academic unit’s </w:t>
      </w:r>
      <w:r w:rsidR="00D815B1">
        <w:t>executive officer</w:t>
      </w:r>
      <w:r>
        <w:t xml:space="preserve">.  A </w:t>
      </w:r>
      <w:r w:rsidR="00E33FDF">
        <w:t xml:space="preserve">previously submitted </w:t>
      </w:r>
      <w:r>
        <w:t xml:space="preserve">letter of application to a faculty </w:t>
      </w:r>
      <w:r w:rsidR="00D72314">
        <w:t xml:space="preserve">or postdoc </w:t>
      </w:r>
      <w:r>
        <w:t xml:space="preserve">search may </w:t>
      </w:r>
      <w:r w:rsidR="006C28B6">
        <w:t>serve as the</w:t>
      </w:r>
      <w:r>
        <w:t xml:space="preserve"> letter of interest.</w:t>
      </w:r>
    </w:p>
    <w:p w14:paraId="211B4212" w14:textId="77777777" w:rsidR="004D3E1E" w:rsidRDefault="008F4F8F" w:rsidP="004D3E1E">
      <w:pPr>
        <w:pStyle w:val="ListParagraph"/>
        <w:numPr>
          <w:ilvl w:val="1"/>
          <w:numId w:val="13"/>
        </w:numPr>
        <w:jc w:val="both"/>
      </w:pPr>
      <w:r>
        <w:t>The Program c</w:t>
      </w:r>
      <w:r w:rsidR="00F06C3E">
        <w:t>andidate</w:t>
      </w:r>
      <w:r>
        <w:t>’s</w:t>
      </w:r>
      <w:r w:rsidR="00F06C3E">
        <w:t xml:space="preserve"> CV</w:t>
      </w:r>
      <w:r>
        <w:t xml:space="preserve"> and a</w:t>
      </w:r>
      <w:r w:rsidR="00F06C3E">
        <w:t>t least three reference letters</w:t>
      </w:r>
      <w:r>
        <w:t>.</w:t>
      </w:r>
    </w:p>
    <w:p w14:paraId="222ED156" w14:textId="3C1AA9DF" w:rsidR="0054346A" w:rsidRDefault="008F4F8F" w:rsidP="004D3E1E">
      <w:pPr>
        <w:pStyle w:val="ListParagraph"/>
        <w:numPr>
          <w:ilvl w:val="1"/>
          <w:numId w:val="13"/>
        </w:numPr>
        <w:jc w:val="both"/>
      </w:pPr>
      <w:r>
        <w:t xml:space="preserve">A summary of the process the academic unit will use </w:t>
      </w:r>
      <w:r w:rsidR="00B45121">
        <w:t xml:space="preserve">before the Program's completion </w:t>
      </w:r>
      <w:r>
        <w:t xml:space="preserve">to evaluate the </w:t>
      </w:r>
      <w:r w:rsidR="007F560A">
        <w:t>candidate</w:t>
      </w:r>
      <w:r>
        <w:t xml:space="preserve"> for a tenure-stream faculty position, highlighting how that process </w:t>
      </w:r>
      <w:r w:rsidR="00FB40FB">
        <w:t xml:space="preserve">will </w:t>
      </w:r>
      <w:r>
        <w:t>differ from the unit’s typical appointments process.</w:t>
      </w:r>
    </w:p>
    <w:p w14:paraId="1568C570" w14:textId="76CA89BB" w:rsidR="004D3E1E" w:rsidRPr="004D3E1E" w:rsidRDefault="008F4F8F" w:rsidP="004D3E1E">
      <w:pPr>
        <w:pStyle w:val="ListParagraph"/>
        <w:numPr>
          <w:ilvl w:val="0"/>
          <w:numId w:val="13"/>
        </w:numPr>
        <w:jc w:val="both"/>
      </w:pPr>
      <w:r>
        <w:rPr>
          <w:bCs/>
        </w:rPr>
        <w:t>Program applications will not be considered until all required materials</w:t>
      </w:r>
      <w:r w:rsidR="00CB5DE3">
        <w:rPr>
          <w:bCs/>
        </w:rPr>
        <w:t xml:space="preserve"> have been submitted</w:t>
      </w:r>
      <w:r>
        <w:rPr>
          <w:bCs/>
        </w:rPr>
        <w:t>.</w:t>
      </w:r>
    </w:p>
    <w:p w14:paraId="73603A0F" w14:textId="77777777" w:rsidR="006E7441" w:rsidRDefault="006E7441" w:rsidP="006E1BA4">
      <w:pPr>
        <w:jc w:val="both"/>
        <w:rPr>
          <w:b/>
        </w:rPr>
      </w:pPr>
    </w:p>
    <w:p w14:paraId="19D6ABF0" w14:textId="77777777" w:rsidR="006E7441" w:rsidRDefault="006E7441" w:rsidP="006E1BA4">
      <w:pPr>
        <w:jc w:val="both"/>
        <w:rPr>
          <w:b/>
        </w:rPr>
      </w:pPr>
    </w:p>
    <w:p w14:paraId="128A5186" w14:textId="77777777" w:rsidR="006E7441" w:rsidRDefault="006E7441" w:rsidP="006E1BA4">
      <w:pPr>
        <w:jc w:val="both"/>
        <w:rPr>
          <w:b/>
        </w:rPr>
      </w:pPr>
    </w:p>
    <w:p w14:paraId="78ECE574" w14:textId="5B8EDB92" w:rsidR="00E4128A" w:rsidRPr="006E1BA4" w:rsidRDefault="008F4F8F" w:rsidP="006E1BA4">
      <w:pPr>
        <w:jc w:val="both"/>
        <w:rPr>
          <w:b/>
        </w:rPr>
      </w:pPr>
      <w:r>
        <w:rPr>
          <w:b/>
        </w:rPr>
        <w:lastRenderedPageBreak/>
        <w:t>Relevant Dates</w:t>
      </w:r>
    </w:p>
    <w:p w14:paraId="1223402C" w14:textId="422B4946" w:rsidR="00E4128A" w:rsidRPr="00C17409" w:rsidRDefault="008F4F8F" w:rsidP="00E4128A">
      <w:pPr>
        <w:pStyle w:val="ListParagraph"/>
        <w:numPr>
          <w:ilvl w:val="0"/>
          <w:numId w:val="13"/>
        </w:numPr>
        <w:jc w:val="both"/>
        <w:rPr>
          <w:b/>
        </w:rPr>
      </w:pPr>
      <w:r w:rsidRPr="00C17409">
        <w:rPr>
          <w:bCs/>
        </w:rPr>
        <w:t xml:space="preserve">Applications </w:t>
      </w:r>
      <w:r w:rsidR="00B94DB3" w:rsidRPr="00C17409">
        <w:rPr>
          <w:bCs/>
        </w:rPr>
        <w:t>are currently being accepted</w:t>
      </w:r>
      <w:r w:rsidR="00C17409" w:rsidRPr="00C17409">
        <w:rPr>
          <w:bCs/>
        </w:rPr>
        <w:t xml:space="preserve"> until March</w:t>
      </w:r>
      <w:r w:rsidR="003A56E3">
        <w:rPr>
          <w:bCs/>
        </w:rPr>
        <w:t xml:space="preserve"> 8, 2024</w:t>
      </w:r>
    </w:p>
    <w:p w14:paraId="654E56CF" w14:textId="56F14E1C" w:rsidR="00316B50" w:rsidRDefault="008F4F8F" w:rsidP="00D13735">
      <w:pPr>
        <w:pStyle w:val="ListParagraph"/>
        <w:numPr>
          <w:ilvl w:val="0"/>
          <w:numId w:val="13"/>
        </w:numPr>
        <w:jc w:val="both"/>
        <w:rPr>
          <w:b/>
        </w:rPr>
      </w:pPr>
      <w:r w:rsidRPr="00C17409">
        <w:rPr>
          <w:bCs/>
        </w:rPr>
        <w:t xml:space="preserve">Decisions will be sent no later than </w:t>
      </w:r>
      <w:r w:rsidRPr="003A56E3">
        <w:rPr>
          <w:bCs/>
        </w:rPr>
        <w:t xml:space="preserve">April </w:t>
      </w:r>
      <w:r w:rsidR="00B73346">
        <w:rPr>
          <w:bCs/>
        </w:rPr>
        <w:t>5</w:t>
      </w:r>
      <w:r w:rsidRPr="003A56E3">
        <w:rPr>
          <w:bCs/>
        </w:rPr>
        <w:t>, 202</w:t>
      </w:r>
      <w:r w:rsidR="003A56E3" w:rsidRPr="003A56E3">
        <w:rPr>
          <w:bCs/>
        </w:rPr>
        <w:t>4</w:t>
      </w:r>
    </w:p>
    <w:p w14:paraId="7026AB88" w14:textId="77777777" w:rsidR="006E7441" w:rsidRPr="006E7441" w:rsidRDefault="006E7441" w:rsidP="006E7441">
      <w:pPr>
        <w:ind w:left="360"/>
        <w:jc w:val="both"/>
        <w:rPr>
          <w:bCs/>
          <w:i/>
          <w:iCs/>
        </w:rPr>
      </w:pPr>
      <w:r w:rsidRPr="006E7441">
        <w:rPr>
          <w:bCs/>
          <w:i/>
          <w:iCs/>
        </w:rPr>
        <w:t xml:space="preserve">Expedited consideration may be possible when the academic unit faces an extremely competitive circumstance. </w:t>
      </w:r>
    </w:p>
    <w:p w14:paraId="4A3CC04D" w14:textId="40ADA740" w:rsidR="00316B50" w:rsidRPr="00BD22BA" w:rsidRDefault="008F4F8F" w:rsidP="00BD22BA">
      <w:pPr>
        <w:ind w:left="360"/>
        <w:jc w:val="both"/>
        <w:rPr>
          <w:b/>
        </w:rPr>
      </w:pPr>
      <w:r w:rsidRPr="00BD22BA">
        <w:rPr>
          <w:b/>
        </w:rPr>
        <w:t>Questions</w:t>
      </w:r>
    </w:p>
    <w:p w14:paraId="0ABB3068" w14:textId="11CB0714" w:rsidR="00316B50" w:rsidRPr="00316B50" w:rsidRDefault="008F4F8F" w:rsidP="00BD22BA">
      <w:pPr>
        <w:pStyle w:val="ListParagraph"/>
        <w:widowControl w:val="0"/>
        <w:numPr>
          <w:ilvl w:val="0"/>
          <w:numId w:val="15"/>
        </w:numPr>
        <w:tabs>
          <w:tab w:val="left" w:pos="835"/>
          <w:tab w:val="left" w:pos="836"/>
        </w:tabs>
        <w:autoSpaceDE w:val="0"/>
        <w:autoSpaceDN w:val="0"/>
        <w:spacing w:after="0" w:line="240" w:lineRule="auto"/>
        <w:jc w:val="both"/>
      </w:pPr>
      <w:r>
        <w:t xml:space="preserve">Please direct questions to </w:t>
      </w:r>
      <w:r w:rsidR="006F68A6">
        <w:t xml:space="preserve">the </w:t>
      </w:r>
      <w:hyperlink r:id="rId8" w:history="1">
        <w:r w:rsidRPr="003A56E3">
          <w:rPr>
            <w:rStyle w:val="Hyperlink"/>
          </w:rPr>
          <w:t>Office for Access and Equity</w:t>
        </w:r>
      </w:hyperlink>
      <w:r w:rsidR="003A56E3">
        <w:t xml:space="preserve">. </w:t>
      </w:r>
    </w:p>
    <w:sectPr w:rsidR="00316B50" w:rsidRPr="00316B50" w:rsidSect="00276DF6">
      <w:headerReference w:type="even" r:id="rId9"/>
      <w:headerReference w:type="default" r:id="rId10"/>
      <w:headerReference w:type="firs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D59ED" w14:textId="77777777" w:rsidR="004760C6" w:rsidRDefault="004760C6">
      <w:pPr>
        <w:spacing w:after="0" w:line="240" w:lineRule="auto"/>
      </w:pPr>
      <w:r>
        <w:separator/>
      </w:r>
    </w:p>
  </w:endnote>
  <w:endnote w:type="continuationSeparator" w:id="0">
    <w:p w14:paraId="434D9F4B" w14:textId="77777777" w:rsidR="004760C6" w:rsidRDefault="0047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8DEB7" w14:textId="77777777" w:rsidR="004760C6" w:rsidRDefault="004760C6">
      <w:pPr>
        <w:spacing w:after="0" w:line="240" w:lineRule="auto"/>
      </w:pPr>
      <w:r>
        <w:separator/>
      </w:r>
    </w:p>
  </w:footnote>
  <w:footnote w:type="continuationSeparator" w:id="0">
    <w:p w14:paraId="03D5F9C7" w14:textId="77777777" w:rsidR="004760C6" w:rsidRDefault="0047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4274" w14:textId="0BAA230C" w:rsidR="0058503E" w:rsidRDefault="006F68A6">
    <w:pPr>
      <w:pStyle w:val="Header"/>
    </w:pPr>
    <w:r>
      <w:rPr>
        <w:noProof/>
      </w:rPr>
      <w:pict w14:anchorId="1A6D38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6022" o:spid="_x0000_s3073" type="#_x0000_t136" alt="" style="position:absolute;margin-left:0;margin-top:0;width:494.9pt;height:164.9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E727" w14:textId="31B2B3A7" w:rsidR="00276DF6" w:rsidRPr="00276DF6" w:rsidRDefault="008F4F8F" w:rsidP="00276DF6">
    <w:pPr>
      <w:spacing w:after="0" w:line="240" w:lineRule="auto"/>
      <w:rPr>
        <w:b/>
        <w:sz w:val="28"/>
        <w:szCs w:val="28"/>
      </w:rPr>
    </w:pPr>
    <w:r w:rsidRPr="00276DF6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C2EA05F" wp14:editId="13CB2E7C">
          <wp:simplePos x="0" y="0"/>
          <wp:positionH relativeFrom="margin">
            <wp:posOffset>3533775</wp:posOffset>
          </wp:positionH>
          <wp:positionV relativeFrom="paragraph">
            <wp:posOffset>123190</wp:posOffset>
          </wp:positionV>
          <wp:extent cx="2352675" cy="409575"/>
          <wp:effectExtent l="0" t="0" r="9525" b="9525"/>
          <wp:wrapNone/>
          <wp:docPr id="16" name="Picture 16" descr="Illinois-Wordmark-Horizontal-Full-Colo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" descr="Illinois-Wordmark-Horizontal-Full-Colo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6DF6">
      <w:rPr>
        <w:b/>
        <w:sz w:val="28"/>
        <w:szCs w:val="28"/>
      </w:rPr>
      <w:t xml:space="preserve">Illinois Distinguished Postdoctoral </w:t>
    </w:r>
  </w:p>
  <w:p w14:paraId="69779696" w14:textId="6724241B" w:rsidR="00276DF6" w:rsidRPr="00276DF6" w:rsidRDefault="008F4F8F" w:rsidP="00A2164A">
    <w:pPr>
      <w:spacing w:after="0" w:line="240" w:lineRule="auto"/>
      <w:rPr>
        <w:b/>
        <w:sz w:val="28"/>
        <w:szCs w:val="28"/>
      </w:rPr>
    </w:pPr>
    <w:r w:rsidRPr="00276DF6">
      <w:rPr>
        <w:b/>
        <w:sz w:val="28"/>
        <w:szCs w:val="28"/>
      </w:rPr>
      <w:t>Research Associate Program</w:t>
    </w:r>
  </w:p>
  <w:p w14:paraId="4833F102" w14:textId="77777777" w:rsidR="00C6460A" w:rsidRPr="00C6460A" w:rsidRDefault="00C6460A" w:rsidP="00C6460A">
    <w:pPr>
      <w:spacing w:after="0" w:line="240" w:lineRule="auto"/>
      <w:rPr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2102" w14:textId="724C02A1" w:rsidR="0058503E" w:rsidRDefault="006F68A6">
    <w:pPr>
      <w:pStyle w:val="Header"/>
    </w:pPr>
    <w:r>
      <w:rPr>
        <w:noProof/>
      </w:rPr>
      <w:pict w14:anchorId="1BF678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6021" o:spid="_x0000_s3074" type="#_x0000_t136" alt="" style="position:absolute;margin-left:0;margin-top:0;width:494.9pt;height:164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E73"/>
    <w:multiLevelType w:val="multilevel"/>
    <w:tmpl w:val="E52E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C2F55"/>
    <w:multiLevelType w:val="multilevel"/>
    <w:tmpl w:val="3070A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829B3"/>
    <w:multiLevelType w:val="multilevel"/>
    <w:tmpl w:val="EA38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3353CE"/>
    <w:multiLevelType w:val="hybridMultilevel"/>
    <w:tmpl w:val="B7C81EB8"/>
    <w:lvl w:ilvl="0" w:tplc="74E05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C29A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FA00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8846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68CF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5655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74B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BECA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CC20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A76B8"/>
    <w:multiLevelType w:val="multilevel"/>
    <w:tmpl w:val="6960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56E9C"/>
    <w:multiLevelType w:val="hybridMultilevel"/>
    <w:tmpl w:val="CDD87A70"/>
    <w:lvl w:ilvl="0" w:tplc="3E9670B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52B7F8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DD2403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E66BF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F2E725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85AA59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86249F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0C624B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18E6C8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6B7AC4"/>
    <w:multiLevelType w:val="hybridMultilevel"/>
    <w:tmpl w:val="0390F7EE"/>
    <w:lvl w:ilvl="0" w:tplc="1AFA2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D4DF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A27A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846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0CA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E660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4CB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7E2D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AC49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D17D1"/>
    <w:multiLevelType w:val="multilevel"/>
    <w:tmpl w:val="D174E0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A93087"/>
    <w:multiLevelType w:val="hybridMultilevel"/>
    <w:tmpl w:val="FBC688F2"/>
    <w:lvl w:ilvl="0" w:tplc="2D7410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07E7C5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E4E4C6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D3200A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8C2B1C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0A4828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542EBC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B66CAF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63291A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660179"/>
    <w:multiLevelType w:val="hybridMultilevel"/>
    <w:tmpl w:val="680CF32C"/>
    <w:lvl w:ilvl="0" w:tplc="C7627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F852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CEDF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E699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2A11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F462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EB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4888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FCED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B73D2"/>
    <w:multiLevelType w:val="hybridMultilevel"/>
    <w:tmpl w:val="3F1228B4"/>
    <w:lvl w:ilvl="0" w:tplc="DA78A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1C9E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14AF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FEE7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A03D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0ECA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88CB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D2BC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00E6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30C51"/>
    <w:multiLevelType w:val="hybridMultilevel"/>
    <w:tmpl w:val="3DAE9AAA"/>
    <w:lvl w:ilvl="0" w:tplc="1ABCD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6CD5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FA5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B2F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8EA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C88B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3657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6AD6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F6F3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62053"/>
    <w:multiLevelType w:val="hybridMultilevel"/>
    <w:tmpl w:val="52A85740"/>
    <w:lvl w:ilvl="0" w:tplc="DFDA5E3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37B6C83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1BCA04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AC7F4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67085F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8166E4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F6CC9C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132D65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35C6C4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25A15C2"/>
    <w:multiLevelType w:val="multilevel"/>
    <w:tmpl w:val="D99CE8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9E0BFC"/>
    <w:multiLevelType w:val="hybridMultilevel"/>
    <w:tmpl w:val="C276C942"/>
    <w:lvl w:ilvl="0" w:tplc="1AB4C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4A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F623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C4B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6082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E227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202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E6CC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8EA0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384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9646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9426175">
    <w:abstractNumId w:val="13"/>
  </w:num>
  <w:num w:numId="4" w16cid:durableId="49279743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2904421">
    <w:abstractNumId w:val="8"/>
  </w:num>
  <w:num w:numId="6" w16cid:durableId="475417419">
    <w:abstractNumId w:val="5"/>
  </w:num>
  <w:num w:numId="7" w16cid:durableId="1974410261">
    <w:abstractNumId w:val="12"/>
  </w:num>
  <w:num w:numId="8" w16cid:durableId="1558084451">
    <w:abstractNumId w:val="4"/>
  </w:num>
  <w:num w:numId="9" w16cid:durableId="279149462">
    <w:abstractNumId w:val="2"/>
  </w:num>
  <w:num w:numId="10" w16cid:durableId="1708986025">
    <w:abstractNumId w:val="10"/>
  </w:num>
  <w:num w:numId="11" w16cid:durableId="1824656662">
    <w:abstractNumId w:val="6"/>
  </w:num>
  <w:num w:numId="12" w16cid:durableId="1656882627">
    <w:abstractNumId w:val="3"/>
  </w:num>
  <w:num w:numId="13" w16cid:durableId="1815177432">
    <w:abstractNumId w:val="11"/>
  </w:num>
  <w:num w:numId="14" w16cid:durableId="2070882866">
    <w:abstractNumId w:val="14"/>
  </w:num>
  <w:num w:numId="15" w16cid:durableId="5519671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5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0D"/>
    <w:rsid w:val="00015C02"/>
    <w:rsid w:val="00047EE1"/>
    <w:rsid w:val="0007086F"/>
    <w:rsid w:val="00076B85"/>
    <w:rsid w:val="0008190F"/>
    <w:rsid w:val="0009551D"/>
    <w:rsid w:val="000D77B7"/>
    <w:rsid w:val="000E53F7"/>
    <w:rsid w:val="000F38D3"/>
    <w:rsid w:val="00103704"/>
    <w:rsid w:val="001172F1"/>
    <w:rsid w:val="00130CB8"/>
    <w:rsid w:val="00142A77"/>
    <w:rsid w:val="00162702"/>
    <w:rsid w:val="00166CA8"/>
    <w:rsid w:val="00167DBE"/>
    <w:rsid w:val="001A3070"/>
    <w:rsid w:val="001C2148"/>
    <w:rsid w:val="001C3023"/>
    <w:rsid w:val="001E2A5F"/>
    <w:rsid w:val="00206391"/>
    <w:rsid w:val="002156F0"/>
    <w:rsid w:val="00226F16"/>
    <w:rsid w:val="00232128"/>
    <w:rsid w:val="002408DD"/>
    <w:rsid w:val="00242691"/>
    <w:rsid w:val="00255FA9"/>
    <w:rsid w:val="00276DF6"/>
    <w:rsid w:val="00290B01"/>
    <w:rsid w:val="002A6B67"/>
    <w:rsid w:val="002B5055"/>
    <w:rsid w:val="002C6883"/>
    <w:rsid w:val="002D520D"/>
    <w:rsid w:val="002E560D"/>
    <w:rsid w:val="0030096B"/>
    <w:rsid w:val="0030416F"/>
    <w:rsid w:val="00316B50"/>
    <w:rsid w:val="00333E53"/>
    <w:rsid w:val="0034116E"/>
    <w:rsid w:val="003754CE"/>
    <w:rsid w:val="00394652"/>
    <w:rsid w:val="003A56E3"/>
    <w:rsid w:val="003B3836"/>
    <w:rsid w:val="003B535C"/>
    <w:rsid w:val="003D66DA"/>
    <w:rsid w:val="00406F2F"/>
    <w:rsid w:val="004268F8"/>
    <w:rsid w:val="00434ECF"/>
    <w:rsid w:val="0046731E"/>
    <w:rsid w:val="004676EB"/>
    <w:rsid w:val="004760C6"/>
    <w:rsid w:val="004D3E1E"/>
    <w:rsid w:val="004E0C38"/>
    <w:rsid w:val="004E73F0"/>
    <w:rsid w:val="005166D9"/>
    <w:rsid w:val="00540E8F"/>
    <w:rsid w:val="0054346A"/>
    <w:rsid w:val="0055296A"/>
    <w:rsid w:val="0058503E"/>
    <w:rsid w:val="005A5E12"/>
    <w:rsid w:val="005D601A"/>
    <w:rsid w:val="006301A7"/>
    <w:rsid w:val="00644074"/>
    <w:rsid w:val="00677F0D"/>
    <w:rsid w:val="006947AE"/>
    <w:rsid w:val="006C28B6"/>
    <w:rsid w:val="006D106A"/>
    <w:rsid w:val="006E1BA4"/>
    <w:rsid w:val="006E3501"/>
    <w:rsid w:val="006E7441"/>
    <w:rsid w:val="006F38FC"/>
    <w:rsid w:val="006F68A6"/>
    <w:rsid w:val="00724CA6"/>
    <w:rsid w:val="00751F36"/>
    <w:rsid w:val="00754377"/>
    <w:rsid w:val="00754530"/>
    <w:rsid w:val="0077776D"/>
    <w:rsid w:val="007909F4"/>
    <w:rsid w:val="007A05BD"/>
    <w:rsid w:val="007A2093"/>
    <w:rsid w:val="007B0A22"/>
    <w:rsid w:val="007B6143"/>
    <w:rsid w:val="007B6606"/>
    <w:rsid w:val="007C53BB"/>
    <w:rsid w:val="007E30BC"/>
    <w:rsid w:val="007F560A"/>
    <w:rsid w:val="007F5D05"/>
    <w:rsid w:val="00806A11"/>
    <w:rsid w:val="008435A5"/>
    <w:rsid w:val="00845395"/>
    <w:rsid w:val="008608D2"/>
    <w:rsid w:val="00865C99"/>
    <w:rsid w:val="00875708"/>
    <w:rsid w:val="008C14E1"/>
    <w:rsid w:val="008E2930"/>
    <w:rsid w:val="008F38AD"/>
    <w:rsid w:val="008F4F8F"/>
    <w:rsid w:val="008F64B0"/>
    <w:rsid w:val="0090444A"/>
    <w:rsid w:val="00905D5B"/>
    <w:rsid w:val="0090669F"/>
    <w:rsid w:val="009300B3"/>
    <w:rsid w:val="00931F7D"/>
    <w:rsid w:val="00937395"/>
    <w:rsid w:val="00943AEA"/>
    <w:rsid w:val="0096303F"/>
    <w:rsid w:val="00974EA2"/>
    <w:rsid w:val="00992D0F"/>
    <w:rsid w:val="009A1459"/>
    <w:rsid w:val="009A1AEC"/>
    <w:rsid w:val="009C2709"/>
    <w:rsid w:val="009C2C0C"/>
    <w:rsid w:val="009C2D9D"/>
    <w:rsid w:val="009C3575"/>
    <w:rsid w:val="009E4406"/>
    <w:rsid w:val="00A07218"/>
    <w:rsid w:val="00A2164A"/>
    <w:rsid w:val="00A526D5"/>
    <w:rsid w:val="00A570E2"/>
    <w:rsid w:val="00A70EA9"/>
    <w:rsid w:val="00A94CB7"/>
    <w:rsid w:val="00A97CAF"/>
    <w:rsid w:val="00AC7DB9"/>
    <w:rsid w:val="00AF07D5"/>
    <w:rsid w:val="00B11067"/>
    <w:rsid w:val="00B407F2"/>
    <w:rsid w:val="00B43819"/>
    <w:rsid w:val="00B45121"/>
    <w:rsid w:val="00B5202B"/>
    <w:rsid w:val="00B60D19"/>
    <w:rsid w:val="00B630C1"/>
    <w:rsid w:val="00B6658A"/>
    <w:rsid w:val="00B67DE0"/>
    <w:rsid w:val="00B73346"/>
    <w:rsid w:val="00B94DB3"/>
    <w:rsid w:val="00BA61F2"/>
    <w:rsid w:val="00BD22BA"/>
    <w:rsid w:val="00BD7B3B"/>
    <w:rsid w:val="00C05BB6"/>
    <w:rsid w:val="00C0759C"/>
    <w:rsid w:val="00C17409"/>
    <w:rsid w:val="00C17BB4"/>
    <w:rsid w:val="00C20572"/>
    <w:rsid w:val="00C62E84"/>
    <w:rsid w:val="00C6460A"/>
    <w:rsid w:val="00C77786"/>
    <w:rsid w:val="00C969D9"/>
    <w:rsid w:val="00CA00F7"/>
    <w:rsid w:val="00CB5DE3"/>
    <w:rsid w:val="00CF33C7"/>
    <w:rsid w:val="00CF79FA"/>
    <w:rsid w:val="00D12146"/>
    <w:rsid w:val="00D13735"/>
    <w:rsid w:val="00D21097"/>
    <w:rsid w:val="00D421AE"/>
    <w:rsid w:val="00D428A5"/>
    <w:rsid w:val="00D538D8"/>
    <w:rsid w:val="00D72314"/>
    <w:rsid w:val="00D7671B"/>
    <w:rsid w:val="00D815B1"/>
    <w:rsid w:val="00D93280"/>
    <w:rsid w:val="00DA2607"/>
    <w:rsid w:val="00DA6285"/>
    <w:rsid w:val="00DE03F6"/>
    <w:rsid w:val="00E146AA"/>
    <w:rsid w:val="00E22DA8"/>
    <w:rsid w:val="00E33FDF"/>
    <w:rsid w:val="00E40C7D"/>
    <w:rsid w:val="00E40E43"/>
    <w:rsid w:val="00E4128A"/>
    <w:rsid w:val="00E47B60"/>
    <w:rsid w:val="00E52EDD"/>
    <w:rsid w:val="00E65D6E"/>
    <w:rsid w:val="00E900BB"/>
    <w:rsid w:val="00EA4405"/>
    <w:rsid w:val="00EB2817"/>
    <w:rsid w:val="00EB56B6"/>
    <w:rsid w:val="00EC5077"/>
    <w:rsid w:val="00ED7B28"/>
    <w:rsid w:val="00EE6924"/>
    <w:rsid w:val="00F06C3E"/>
    <w:rsid w:val="00F21C06"/>
    <w:rsid w:val="00F5333E"/>
    <w:rsid w:val="00F7465C"/>
    <w:rsid w:val="00F91682"/>
    <w:rsid w:val="00FA3B9A"/>
    <w:rsid w:val="00FB40FB"/>
    <w:rsid w:val="00FB47C1"/>
    <w:rsid w:val="00FB67E6"/>
    <w:rsid w:val="00FB6809"/>
    <w:rsid w:val="00FD72D2"/>
    <w:rsid w:val="00FF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2"/>
    </o:shapelayout>
  </w:shapeDefaults>
  <w:decimalSymbol w:val="."/>
  <w:listSeparator w:val=","/>
  <w14:docId w14:val="7446D3F7"/>
  <w15:chartTrackingRefBased/>
  <w15:docId w15:val="{8FD299B4-A84F-454A-A829-7CF8D1EE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44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4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60A"/>
  </w:style>
  <w:style w:type="paragraph" w:styleId="Footer">
    <w:name w:val="footer"/>
    <w:basedOn w:val="Normal"/>
    <w:link w:val="FooterChar"/>
    <w:uiPriority w:val="99"/>
    <w:unhideWhenUsed/>
    <w:rsid w:val="00C64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60A"/>
  </w:style>
  <w:style w:type="paragraph" w:styleId="ListParagraph">
    <w:name w:val="List Paragraph"/>
    <w:basedOn w:val="Normal"/>
    <w:uiPriority w:val="1"/>
    <w:qFormat/>
    <w:rsid w:val="00C646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0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35A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35A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969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A4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4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4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4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0E8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94DB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94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andequity@illinoi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illinois.edu/sec/2378766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Palmisano</dc:creator>
  <cp:lastModifiedBy>Heidi Johnson</cp:lastModifiedBy>
  <cp:revision>3</cp:revision>
  <cp:lastPrinted>2021-12-10T22:57:00Z</cp:lastPrinted>
  <dcterms:created xsi:type="dcterms:W3CDTF">2023-11-15T23:22:00Z</dcterms:created>
  <dcterms:modified xsi:type="dcterms:W3CDTF">2023-11-16T17:40:00Z</dcterms:modified>
</cp:coreProperties>
</file>